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EAAFF66" w14:textId="77777777" w:rsidR="009904C4" w:rsidRDefault="009904C4" w:rsidP="002D205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center"/>
        <w:rPr>
          <w:rFonts w:ascii="Arial" w:eastAsia="Times New Roman" w:hAnsi="Arial" w:cs="Arial"/>
          <w:b/>
          <w:sz w:val="24"/>
          <w:szCs w:val="24"/>
        </w:rPr>
      </w:pPr>
      <w:r>
        <w:rPr>
          <w:rFonts w:ascii="Arial" w:eastAsia="Times New Roman" w:hAnsi="Arial" w:cs="Arial"/>
          <w:b/>
          <w:noProof/>
          <w:sz w:val="24"/>
          <w:szCs w:val="24"/>
        </w:rPr>
        <w:drawing>
          <wp:inline distT="0" distB="0" distL="0" distR="0" wp14:anchorId="0C73126E" wp14:editId="3596B64A">
            <wp:extent cx="2265985" cy="61147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 EDC logo horizontal 4color.jpg"/>
                    <pic:cNvPicPr/>
                  </pic:nvPicPr>
                  <pic:blipFill rotWithShape="1">
                    <a:blip r:embed="rId8" cstate="print">
                      <a:extLst>
                        <a:ext uri="{28A0092B-C50C-407E-A947-70E740481C1C}">
                          <a14:useLocalDpi xmlns:a14="http://schemas.microsoft.com/office/drawing/2010/main" val="0"/>
                        </a:ext>
                      </a:extLst>
                    </a:blip>
                    <a:srcRect l="5852" t="12978" r="5242" b="10978"/>
                    <a:stretch/>
                  </pic:blipFill>
                  <pic:spPr bwMode="auto">
                    <a:xfrm>
                      <a:off x="0" y="0"/>
                      <a:ext cx="2307720" cy="622732"/>
                    </a:xfrm>
                    <a:prstGeom prst="rect">
                      <a:avLst/>
                    </a:prstGeom>
                    <a:ln>
                      <a:noFill/>
                    </a:ln>
                    <a:extLst>
                      <a:ext uri="{53640926-AAD7-44D8-BBD7-CCE9431645EC}">
                        <a14:shadowObscured xmlns:a14="http://schemas.microsoft.com/office/drawing/2010/main"/>
                      </a:ext>
                    </a:extLst>
                  </pic:spPr>
                </pic:pic>
              </a:graphicData>
            </a:graphic>
          </wp:inline>
        </w:drawing>
      </w:r>
    </w:p>
    <w:p w14:paraId="2114A84D" w14:textId="6CB6B9EF" w:rsidR="00AA3407" w:rsidRPr="00CD373F" w:rsidRDefault="0050308A" w:rsidP="00AA3407">
      <w:pPr>
        <w:spacing w:after="0" w:line="240" w:lineRule="auto"/>
        <w:rPr>
          <w:rFonts w:asciiTheme="majorHAnsi" w:eastAsia="Calibri" w:hAnsiTheme="majorHAnsi" w:cstheme="majorHAnsi"/>
          <w:b/>
        </w:rPr>
      </w:pPr>
      <w:r w:rsidRPr="00CD373F">
        <w:rPr>
          <w:rFonts w:asciiTheme="majorHAnsi" w:eastAsia="Calibri" w:hAnsiTheme="majorHAnsi" w:cstheme="majorHAnsi"/>
          <w:b/>
        </w:rPr>
        <w:t xml:space="preserve">March </w:t>
      </w:r>
      <w:r w:rsidR="00BA0894" w:rsidRPr="00CD373F">
        <w:rPr>
          <w:rFonts w:asciiTheme="majorHAnsi" w:eastAsia="Calibri" w:hAnsiTheme="majorHAnsi" w:cstheme="majorHAnsi"/>
          <w:b/>
        </w:rPr>
        <w:t>20</w:t>
      </w:r>
      <w:r w:rsidRPr="00CD373F">
        <w:rPr>
          <w:rFonts w:asciiTheme="majorHAnsi" w:eastAsia="Calibri" w:hAnsiTheme="majorHAnsi" w:cstheme="majorHAnsi"/>
          <w:b/>
        </w:rPr>
        <w:t>, 2017</w:t>
      </w:r>
    </w:p>
    <w:p w14:paraId="308946F3" w14:textId="46765965" w:rsidR="00AA3407" w:rsidRPr="00CD373F" w:rsidRDefault="00AA3407" w:rsidP="00AA3407">
      <w:pPr>
        <w:spacing w:after="0" w:line="240" w:lineRule="auto"/>
        <w:rPr>
          <w:rFonts w:asciiTheme="majorHAnsi" w:eastAsia="Calibri" w:hAnsiTheme="majorHAnsi" w:cstheme="majorHAnsi"/>
          <w:b/>
        </w:rPr>
      </w:pPr>
      <w:r w:rsidRPr="00CD373F">
        <w:rPr>
          <w:rFonts w:asciiTheme="majorHAnsi" w:eastAsia="Calibri" w:hAnsiTheme="majorHAnsi" w:cstheme="majorHAnsi"/>
          <w:b/>
        </w:rPr>
        <w:t xml:space="preserve">For Immediate Release </w:t>
      </w:r>
      <w:r w:rsidR="00AA2221" w:rsidRPr="00CD373F">
        <w:rPr>
          <w:rFonts w:asciiTheme="majorHAnsi" w:eastAsia="Calibri" w:hAnsiTheme="majorHAnsi" w:cstheme="majorHAnsi"/>
          <w:b/>
        </w:rPr>
        <w:t>March 20, 2017</w:t>
      </w:r>
    </w:p>
    <w:p w14:paraId="1D739BDD" w14:textId="77777777" w:rsidR="00687CDE" w:rsidRPr="00CD373F" w:rsidRDefault="00AA3407" w:rsidP="007E77E2">
      <w:pPr>
        <w:spacing w:after="0" w:line="240" w:lineRule="auto"/>
        <w:rPr>
          <w:rFonts w:asciiTheme="majorHAnsi" w:eastAsia="Calibri" w:hAnsiTheme="majorHAnsi" w:cstheme="majorHAnsi"/>
          <w:b/>
        </w:rPr>
      </w:pPr>
      <w:r w:rsidRPr="00CD373F">
        <w:rPr>
          <w:rFonts w:asciiTheme="majorHAnsi" w:eastAsia="Calibri" w:hAnsiTheme="majorHAnsi" w:cstheme="majorHAnsi"/>
          <w:b/>
        </w:rPr>
        <w:t xml:space="preserve">Contact: Pete Tesch, President, Economic Development Council of St. Lucie County </w:t>
      </w:r>
    </w:p>
    <w:p w14:paraId="772F40FA" w14:textId="77777777" w:rsidR="00AA3407" w:rsidRPr="00CD373F" w:rsidRDefault="00AA3407" w:rsidP="007E77E2">
      <w:pPr>
        <w:spacing w:after="0" w:line="240" w:lineRule="auto"/>
        <w:rPr>
          <w:rFonts w:asciiTheme="majorHAnsi" w:eastAsia="Calibri" w:hAnsiTheme="majorHAnsi" w:cstheme="majorHAnsi"/>
          <w:b/>
          <w:color w:val="0000FF"/>
          <w:u w:val="single"/>
        </w:rPr>
      </w:pPr>
      <w:r w:rsidRPr="00CD373F">
        <w:rPr>
          <w:rFonts w:asciiTheme="majorHAnsi" w:eastAsia="Calibri" w:hAnsiTheme="majorHAnsi" w:cstheme="majorHAnsi"/>
          <w:b/>
        </w:rPr>
        <w:t xml:space="preserve">Phone: (772) 336-6254 Email: </w:t>
      </w:r>
      <w:hyperlink r:id="rId9" w:history="1">
        <w:r w:rsidRPr="00CD373F">
          <w:rPr>
            <w:rFonts w:asciiTheme="majorHAnsi" w:eastAsia="Calibri" w:hAnsiTheme="majorHAnsi" w:cstheme="majorHAnsi"/>
            <w:b/>
            <w:color w:val="0000FF"/>
            <w:u w:val="single"/>
          </w:rPr>
          <w:t>ptesch@youredc.com</w:t>
        </w:r>
      </w:hyperlink>
    </w:p>
    <w:p w14:paraId="6ADCB2E6" w14:textId="77777777" w:rsidR="0050308A" w:rsidRPr="00120A65" w:rsidRDefault="0050308A" w:rsidP="007E77E2">
      <w:pPr>
        <w:spacing w:after="0" w:line="240" w:lineRule="auto"/>
        <w:rPr>
          <w:rFonts w:eastAsia="Calibri" w:cstheme="minorHAnsi"/>
          <w:b/>
          <w:color w:val="0000FF"/>
          <w:sz w:val="20"/>
          <w:szCs w:val="20"/>
          <w:u w:val="single"/>
        </w:rPr>
      </w:pPr>
    </w:p>
    <w:p w14:paraId="2FC819F7" w14:textId="77777777" w:rsidR="002D205F" w:rsidRPr="00CD373F" w:rsidRDefault="002D205F" w:rsidP="0050308A">
      <w:pPr>
        <w:spacing w:after="0" w:line="240" w:lineRule="auto"/>
        <w:jc w:val="center"/>
        <w:rPr>
          <w:rFonts w:eastAsia="Calibri" w:cstheme="minorHAnsi"/>
          <w:b/>
          <w:color w:val="2F2B20" w:themeColor="text1"/>
        </w:rPr>
      </w:pPr>
      <w:r w:rsidRPr="00CD373F">
        <w:rPr>
          <w:rFonts w:eastAsia="Calibri" w:cstheme="minorHAnsi"/>
          <w:b/>
          <w:color w:val="2F2B20" w:themeColor="text1"/>
        </w:rPr>
        <w:t>Manufacturing Making Gains and Set for Growth</w:t>
      </w:r>
    </w:p>
    <w:p w14:paraId="2A98EEAD" w14:textId="77777777" w:rsidR="0050308A" w:rsidRPr="00120A65" w:rsidRDefault="00734B57" w:rsidP="0050308A">
      <w:pPr>
        <w:spacing w:after="0" w:line="240" w:lineRule="auto"/>
        <w:jc w:val="center"/>
        <w:rPr>
          <w:rFonts w:ascii="Calibri Light" w:eastAsia="Calibri" w:hAnsi="Calibri Light" w:cs="Calibri Light"/>
          <w:b/>
          <w:color w:val="2F2B20" w:themeColor="text1"/>
        </w:rPr>
      </w:pPr>
      <w:r w:rsidRPr="00CD373F">
        <w:rPr>
          <w:rFonts w:eastAsia="Calibri" w:cstheme="minorHAnsi"/>
          <w:b/>
          <w:color w:val="2F2B20" w:themeColor="text1"/>
        </w:rPr>
        <w:t>Market Share</w:t>
      </w:r>
      <w:r w:rsidR="002D205F" w:rsidRPr="00CD373F">
        <w:rPr>
          <w:rFonts w:eastAsia="Calibri" w:cstheme="minorHAnsi"/>
          <w:b/>
          <w:color w:val="2F2B20" w:themeColor="text1"/>
        </w:rPr>
        <w:t xml:space="preserve"> &amp; Wages Rising</w:t>
      </w:r>
    </w:p>
    <w:p w14:paraId="5F2968AE" w14:textId="77777777" w:rsidR="00120A65" w:rsidRPr="00120A65" w:rsidRDefault="00120A65" w:rsidP="0050308A">
      <w:pPr>
        <w:spacing w:after="0" w:line="240" w:lineRule="auto"/>
        <w:jc w:val="center"/>
        <w:rPr>
          <w:rFonts w:ascii="Calibri Light" w:eastAsia="Calibri" w:hAnsi="Calibri Light" w:cs="Calibri Light"/>
          <w:b/>
          <w:color w:val="2F2B20" w:themeColor="text1"/>
        </w:rPr>
      </w:pPr>
    </w:p>
    <w:p w14:paraId="5294FDB2" w14:textId="77777777" w:rsidR="005536DD" w:rsidRPr="00120A65" w:rsidRDefault="005536DD" w:rsidP="00CD373F">
      <w:pPr>
        <w:spacing w:after="0" w:line="276" w:lineRule="auto"/>
        <w:ind w:right="-90"/>
        <w:rPr>
          <w:rFonts w:ascii="Calibri Light" w:eastAsia="Calibri" w:hAnsi="Calibri Light" w:cs="Calibri Light"/>
          <w:color w:val="2F2B20"/>
        </w:rPr>
      </w:pPr>
      <w:r w:rsidRPr="00120A65">
        <w:rPr>
          <w:rFonts w:ascii="Calibri Light" w:eastAsia="Calibri" w:hAnsi="Calibri Light" w:cs="Calibri Light"/>
          <w:b/>
          <w:color w:val="2F2B20"/>
        </w:rPr>
        <w:t>PORT ST. LUCIE, FL –</w:t>
      </w:r>
      <w:r w:rsidRPr="00120A65">
        <w:rPr>
          <w:rFonts w:ascii="Calibri Light" w:eastAsia="Calibri" w:hAnsi="Calibri Light" w:cs="Calibri Light"/>
          <w:color w:val="2F2B20"/>
        </w:rPr>
        <w:t xml:space="preserve"> The St. Lucie County manufacturing industry is poised for new growth, according to a report from the Florida Department of Economic Opportunity (DEO).  The report shares a detailed portrait of Port St. Lucie’s competitive market edge, demonstrated by steady growth in wages, rising labor productivity and recent gains in manufacturing’s overall position as a growing share of the local economy.</w:t>
      </w:r>
    </w:p>
    <w:p w14:paraId="4381BDE8" w14:textId="77777777" w:rsidR="00D864C5" w:rsidRPr="00120A65" w:rsidRDefault="00D864C5" w:rsidP="00120A65">
      <w:pPr>
        <w:spacing w:after="0" w:line="276" w:lineRule="auto"/>
        <w:rPr>
          <w:rFonts w:ascii="Calibri Light" w:eastAsia="Calibri" w:hAnsi="Calibri Light" w:cs="Calibri Light"/>
          <w:color w:val="2F2B20" w:themeColor="text1"/>
        </w:rPr>
      </w:pPr>
    </w:p>
    <w:p w14:paraId="635F56B4" w14:textId="77777777" w:rsidR="00BE755B" w:rsidRPr="00120A65" w:rsidRDefault="00D864C5" w:rsidP="00120A65">
      <w:pPr>
        <w:spacing w:after="0" w:line="276" w:lineRule="auto"/>
        <w:rPr>
          <w:rFonts w:ascii="Calibri Light" w:eastAsia="Calibri" w:hAnsi="Calibri Light" w:cs="Calibri Light"/>
          <w:color w:val="2F2B20" w:themeColor="text1"/>
        </w:rPr>
      </w:pPr>
      <w:r w:rsidRPr="00120A65">
        <w:rPr>
          <w:rFonts w:ascii="Calibri Light" w:eastAsia="Calibri" w:hAnsi="Calibri Light" w:cs="Calibri Light"/>
          <w:color w:val="2F2B20" w:themeColor="text1"/>
        </w:rPr>
        <w:t>“</w:t>
      </w:r>
      <w:r w:rsidR="002927EB" w:rsidRPr="00120A65">
        <w:rPr>
          <w:rFonts w:ascii="Calibri Light" w:eastAsia="Calibri" w:hAnsi="Calibri Light" w:cs="Calibri Light"/>
          <w:color w:val="2F2B20" w:themeColor="text1"/>
        </w:rPr>
        <w:t xml:space="preserve">This comprehensive </w:t>
      </w:r>
      <w:r w:rsidR="00CD62EE" w:rsidRPr="00120A65">
        <w:rPr>
          <w:rFonts w:ascii="Calibri Light" w:eastAsia="Calibri" w:hAnsi="Calibri Light" w:cs="Calibri Light"/>
          <w:color w:val="2F2B20" w:themeColor="text1"/>
        </w:rPr>
        <w:t>study</w:t>
      </w:r>
      <w:r w:rsidR="002927EB" w:rsidRPr="00120A65">
        <w:rPr>
          <w:rFonts w:ascii="Calibri Light" w:eastAsia="Calibri" w:hAnsi="Calibri Light" w:cs="Calibri Light"/>
          <w:color w:val="2F2B20" w:themeColor="text1"/>
        </w:rPr>
        <w:t xml:space="preserve"> is a clear barometer of a healthy</w:t>
      </w:r>
      <w:r w:rsidR="00941C84" w:rsidRPr="00120A65">
        <w:rPr>
          <w:rFonts w:ascii="Calibri Light" w:eastAsia="Calibri" w:hAnsi="Calibri Light" w:cs="Calibri Light"/>
          <w:color w:val="2F2B20" w:themeColor="text1"/>
        </w:rPr>
        <w:t xml:space="preserve"> climate for manufacturing,</w:t>
      </w:r>
      <w:r w:rsidR="002927EB" w:rsidRPr="00120A65">
        <w:rPr>
          <w:rFonts w:ascii="Calibri Light" w:eastAsia="Calibri" w:hAnsi="Calibri Light" w:cs="Calibri Light"/>
          <w:color w:val="2F2B20" w:themeColor="text1"/>
        </w:rPr>
        <w:t xml:space="preserve"> but more important, it demonstrates that market conditions are </w:t>
      </w:r>
      <w:r w:rsidR="00941C84" w:rsidRPr="00120A65">
        <w:rPr>
          <w:rFonts w:ascii="Calibri Light" w:eastAsia="Calibri" w:hAnsi="Calibri Light" w:cs="Calibri Light"/>
          <w:color w:val="2F2B20" w:themeColor="text1"/>
        </w:rPr>
        <w:t xml:space="preserve">highly </w:t>
      </w:r>
      <w:r w:rsidR="002927EB" w:rsidRPr="00120A65">
        <w:rPr>
          <w:rFonts w:ascii="Calibri Light" w:eastAsia="Calibri" w:hAnsi="Calibri Light" w:cs="Calibri Light"/>
          <w:color w:val="2F2B20" w:themeColor="text1"/>
        </w:rPr>
        <w:t>advantageous for</w:t>
      </w:r>
      <w:r w:rsidR="00DB777E" w:rsidRPr="00120A65">
        <w:rPr>
          <w:rFonts w:ascii="Calibri Light" w:eastAsia="Calibri" w:hAnsi="Calibri Light" w:cs="Calibri Light"/>
          <w:color w:val="2F2B20" w:themeColor="text1"/>
        </w:rPr>
        <w:t xml:space="preserve"> current and </w:t>
      </w:r>
      <w:r w:rsidR="002927EB" w:rsidRPr="00120A65">
        <w:rPr>
          <w:rFonts w:ascii="Calibri Light" w:eastAsia="Calibri" w:hAnsi="Calibri Light" w:cs="Calibri Light"/>
          <w:color w:val="2F2B20" w:themeColor="text1"/>
        </w:rPr>
        <w:t>future growth, making our region very attractive to prospective new businesses,” said Pete Tesch</w:t>
      </w:r>
      <w:r w:rsidR="00D95FFC" w:rsidRPr="00120A65">
        <w:rPr>
          <w:rFonts w:ascii="Calibri Light" w:eastAsia="Calibri" w:hAnsi="Calibri Light" w:cs="Calibri Light"/>
          <w:color w:val="2F2B20" w:themeColor="text1"/>
        </w:rPr>
        <w:t xml:space="preserve">, president of the Economic Development Council (EDC) of St. Lucie County. </w:t>
      </w:r>
      <w:r w:rsidR="00B978DB" w:rsidRPr="00120A65">
        <w:rPr>
          <w:rFonts w:ascii="Calibri Light" w:eastAsia="Calibri" w:hAnsi="Calibri Light" w:cs="Calibri Light"/>
          <w:color w:val="2F2B20" w:themeColor="text1"/>
        </w:rPr>
        <w:t xml:space="preserve">“In 2016 the EDC identified manufacturing among its top industries targeted for development. </w:t>
      </w:r>
      <w:r w:rsidR="00B56378" w:rsidRPr="00120A65">
        <w:rPr>
          <w:rFonts w:ascii="Calibri Light" w:eastAsia="Calibri" w:hAnsi="Calibri Light" w:cs="Calibri Light"/>
          <w:color w:val="2F2B20" w:themeColor="text1"/>
        </w:rPr>
        <w:t>This report adds confirmation that we’re steering in the right direction, due north, and aiming for the bull’s eye.”</w:t>
      </w:r>
    </w:p>
    <w:p w14:paraId="5B8E2708" w14:textId="77777777" w:rsidR="00F301C4" w:rsidRPr="00120A65" w:rsidRDefault="00F301C4" w:rsidP="00120A65">
      <w:pPr>
        <w:spacing w:after="0" w:line="276" w:lineRule="auto"/>
        <w:rPr>
          <w:rFonts w:ascii="Calibri Light" w:eastAsia="Calibri" w:hAnsi="Calibri Light" w:cs="Calibri Light"/>
          <w:color w:val="2F2B20" w:themeColor="text1"/>
        </w:rPr>
      </w:pPr>
    </w:p>
    <w:p w14:paraId="777C5078" w14:textId="3D927812" w:rsidR="00734B57" w:rsidRPr="00120A65" w:rsidRDefault="00F301C4" w:rsidP="00CD373F">
      <w:pPr>
        <w:spacing w:after="0" w:line="276" w:lineRule="auto"/>
        <w:ind w:right="-180"/>
        <w:rPr>
          <w:rFonts w:ascii="Calibri Light" w:eastAsia="Calibri" w:hAnsi="Calibri Light" w:cs="Calibri Light"/>
          <w:color w:val="2F2B20" w:themeColor="text1"/>
        </w:rPr>
      </w:pPr>
      <w:r w:rsidRPr="00120A65">
        <w:rPr>
          <w:rFonts w:ascii="Calibri Light" w:eastAsia="Calibri" w:hAnsi="Calibri Light" w:cs="Calibri Light"/>
          <w:color w:val="2F2B20" w:themeColor="text1"/>
        </w:rPr>
        <w:t>Released</w:t>
      </w:r>
      <w:r w:rsidR="002D205F" w:rsidRPr="00120A65">
        <w:rPr>
          <w:rFonts w:ascii="Calibri Light" w:eastAsia="Calibri" w:hAnsi="Calibri Light" w:cs="Calibri Light"/>
          <w:color w:val="2F2B20" w:themeColor="text1"/>
        </w:rPr>
        <w:t xml:space="preserve"> </w:t>
      </w:r>
      <w:r w:rsidR="000331F9" w:rsidRPr="00120A65">
        <w:rPr>
          <w:rFonts w:ascii="Calibri Light" w:eastAsia="Calibri" w:hAnsi="Calibri Light" w:cs="Calibri Light"/>
          <w:color w:val="2F2B20" w:themeColor="text1"/>
        </w:rPr>
        <w:t xml:space="preserve">February 2017, </w:t>
      </w:r>
      <w:r w:rsidRPr="00120A65">
        <w:rPr>
          <w:rFonts w:ascii="Calibri Light" w:eastAsia="Calibri" w:hAnsi="Calibri Light" w:cs="Calibri Light"/>
          <w:color w:val="2F2B20" w:themeColor="text1"/>
        </w:rPr>
        <w:t xml:space="preserve">the </w:t>
      </w:r>
      <w:r w:rsidR="00687CDE" w:rsidRPr="00120A65">
        <w:rPr>
          <w:rFonts w:ascii="Calibri Light" w:eastAsia="Calibri" w:hAnsi="Calibri Light" w:cs="Calibri Light"/>
          <w:color w:val="2F2B20" w:themeColor="text1"/>
        </w:rPr>
        <w:t xml:space="preserve">Regional </w:t>
      </w:r>
      <w:r w:rsidRPr="00120A65">
        <w:rPr>
          <w:rFonts w:ascii="Calibri Light" w:eastAsia="Calibri" w:hAnsi="Calibri Light" w:cs="Calibri Light"/>
          <w:color w:val="2F2B20" w:themeColor="text1"/>
        </w:rPr>
        <w:t xml:space="preserve">DOSsIER report (Demographic Occupation and Subsector </w:t>
      </w:r>
      <w:r w:rsidR="005536DD" w:rsidRPr="00120A65">
        <w:rPr>
          <w:rFonts w:ascii="Calibri Light" w:eastAsia="Calibri" w:hAnsi="Calibri Light" w:cs="Calibri Light"/>
          <w:color w:val="2F2B20" w:themeColor="text1"/>
        </w:rPr>
        <w:t xml:space="preserve">Industry </w:t>
      </w:r>
      <w:r w:rsidRPr="00120A65">
        <w:rPr>
          <w:rFonts w:ascii="Calibri Light" w:eastAsia="Calibri" w:hAnsi="Calibri Light" w:cs="Calibri Light"/>
          <w:color w:val="2F2B20" w:themeColor="text1"/>
        </w:rPr>
        <w:t xml:space="preserve">Evaluation Report) focuses </w:t>
      </w:r>
      <w:r w:rsidR="00734B57" w:rsidRPr="00120A65">
        <w:rPr>
          <w:rFonts w:ascii="Calibri Light" w:eastAsia="Calibri" w:hAnsi="Calibri Light" w:cs="Calibri Light"/>
          <w:color w:val="2F2B20" w:themeColor="text1"/>
        </w:rPr>
        <w:t xml:space="preserve">strictly </w:t>
      </w:r>
      <w:r w:rsidRPr="00120A65">
        <w:rPr>
          <w:rFonts w:ascii="Calibri Light" w:eastAsia="Calibri" w:hAnsi="Calibri Light" w:cs="Calibri Light"/>
          <w:color w:val="2F2B20" w:themeColor="text1"/>
        </w:rPr>
        <w:t xml:space="preserve">on </w:t>
      </w:r>
      <w:r w:rsidR="002F7AE3" w:rsidRPr="00120A65">
        <w:rPr>
          <w:rFonts w:ascii="Calibri Light" w:eastAsia="Calibri" w:hAnsi="Calibri Light" w:cs="Calibri Light"/>
          <w:color w:val="2F2B20" w:themeColor="text1"/>
        </w:rPr>
        <w:t>manufacturing</w:t>
      </w:r>
      <w:r w:rsidRPr="00120A65">
        <w:rPr>
          <w:rFonts w:ascii="Calibri Light" w:eastAsia="Calibri" w:hAnsi="Calibri Light" w:cs="Calibri Light"/>
          <w:color w:val="2F2B20" w:themeColor="text1"/>
        </w:rPr>
        <w:t xml:space="preserve">, providing </w:t>
      </w:r>
      <w:r w:rsidR="00734B57" w:rsidRPr="00120A65">
        <w:rPr>
          <w:rFonts w:ascii="Calibri Light" w:eastAsia="Calibri" w:hAnsi="Calibri Light" w:cs="Calibri Light"/>
          <w:color w:val="2F2B20" w:themeColor="text1"/>
        </w:rPr>
        <w:t xml:space="preserve">an overview of long-term trends, based on </w:t>
      </w:r>
      <w:r w:rsidRPr="00120A65">
        <w:rPr>
          <w:rFonts w:ascii="Calibri Light" w:eastAsia="Calibri" w:hAnsi="Calibri Light" w:cs="Calibri Light"/>
          <w:color w:val="2F2B20" w:themeColor="text1"/>
        </w:rPr>
        <w:t xml:space="preserve">employment, wages, </w:t>
      </w:r>
      <w:r w:rsidR="00734B57" w:rsidRPr="00120A65">
        <w:rPr>
          <w:rFonts w:ascii="Calibri Light" w:eastAsia="Calibri" w:hAnsi="Calibri Light" w:cs="Calibri Light"/>
          <w:color w:val="2F2B20" w:themeColor="text1"/>
        </w:rPr>
        <w:t xml:space="preserve">worker </w:t>
      </w:r>
      <w:r w:rsidRPr="00120A65">
        <w:rPr>
          <w:rFonts w:ascii="Calibri Light" w:eastAsia="Calibri" w:hAnsi="Calibri Light" w:cs="Calibri Light"/>
          <w:color w:val="2F2B20" w:themeColor="text1"/>
        </w:rPr>
        <w:t>demographics,</w:t>
      </w:r>
      <w:r w:rsidR="00734B57" w:rsidRPr="00120A65">
        <w:rPr>
          <w:rFonts w:ascii="Calibri Light" w:eastAsia="Calibri" w:hAnsi="Calibri Light" w:cs="Calibri Light"/>
          <w:color w:val="2F2B20" w:themeColor="text1"/>
        </w:rPr>
        <w:t xml:space="preserve"> and the </w:t>
      </w:r>
      <w:r w:rsidR="00D61131" w:rsidRPr="00120A65">
        <w:rPr>
          <w:rFonts w:ascii="Calibri Light" w:eastAsia="Calibri" w:hAnsi="Calibri Light" w:cs="Calibri Light"/>
          <w:color w:val="2F2B20" w:themeColor="text1"/>
        </w:rPr>
        <w:t xml:space="preserve">types and </w:t>
      </w:r>
      <w:r w:rsidR="00941C84" w:rsidRPr="00120A65">
        <w:rPr>
          <w:rFonts w:ascii="Calibri Light" w:eastAsia="Calibri" w:hAnsi="Calibri Light" w:cs="Calibri Light"/>
          <w:color w:val="2F2B20" w:themeColor="text1"/>
        </w:rPr>
        <w:t>number</w:t>
      </w:r>
      <w:r w:rsidR="00D61131" w:rsidRPr="00120A65">
        <w:rPr>
          <w:rFonts w:ascii="Calibri Light" w:eastAsia="Calibri" w:hAnsi="Calibri Light" w:cs="Calibri Light"/>
          <w:color w:val="2F2B20" w:themeColor="text1"/>
        </w:rPr>
        <w:t>s</w:t>
      </w:r>
      <w:r w:rsidR="00941C84" w:rsidRPr="00120A65">
        <w:rPr>
          <w:rFonts w:ascii="Calibri Light" w:eastAsia="Calibri" w:hAnsi="Calibri Light" w:cs="Calibri Light"/>
          <w:color w:val="2F2B20" w:themeColor="text1"/>
        </w:rPr>
        <w:t xml:space="preserve"> </w:t>
      </w:r>
      <w:r w:rsidR="00734B57" w:rsidRPr="00120A65">
        <w:rPr>
          <w:rFonts w:ascii="Calibri Light" w:eastAsia="Calibri" w:hAnsi="Calibri Light" w:cs="Calibri Light"/>
          <w:color w:val="2F2B20" w:themeColor="text1"/>
        </w:rPr>
        <w:t xml:space="preserve">of firms doing business in </w:t>
      </w:r>
      <w:r w:rsidR="00DB777E" w:rsidRPr="00120A65">
        <w:rPr>
          <w:rFonts w:ascii="Calibri Light" w:eastAsia="Calibri" w:hAnsi="Calibri Light" w:cs="Calibri Light"/>
          <w:color w:val="2F2B20" w:themeColor="text1"/>
        </w:rPr>
        <w:t>the</w:t>
      </w:r>
      <w:r w:rsidR="00D61131" w:rsidRPr="00120A65">
        <w:rPr>
          <w:rFonts w:ascii="Calibri Light" w:eastAsia="Calibri" w:hAnsi="Calibri Light" w:cs="Calibri Light"/>
          <w:color w:val="2F2B20" w:themeColor="text1"/>
        </w:rPr>
        <w:t xml:space="preserve"> two-county</w:t>
      </w:r>
      <w:r w:rsidR="00DB777E" w:rsidRPr="00120A65">
        <w:rPr>
          <w:rFonts w:ascii="Calibri Light" w:eastAsia="Calibri" w:hAnsi="Calibri Light" w:cs="Calibri Light"/>
          <w:color w:val="2F2B20" w:themeColor="text1"/>
        </w:rPr>
        <w:t xml:space="preserve"> </w:t>
      </w:r>
      <w:r w:rsidRPr="00120A65">
        <w:rPr>
          <w:rFonts w:ascii="Calibri Light" w:eastAsia="Calibri" w:hAnsi="Calibri Light" w:cs="Calibri Light"/>
          <w:color w:val="2F2B20" w:themeColor="text1"/>
        </w:rPr>
        <w:t>Port St. Lucie Metropolitan Statistical Are</w:t>
      </w:r>
      <w:r w:rsidR="00734B57" w:rsidRPr="00120A65">
        <w:rPr>
          <w:rFonts w:ascii="Calibri Light" w:eastAsia="Calibri" w:hAnsi="Calibri Light" w:cs="Calibri Light"/>
          <w:color w:val="2F2B20" w:themeColor="text1"/>
        </w:rPr>
        <w:t xml:space="preserve">a (MSA), which includes </w:t>
      </w:r>
      <w:r w:rsidR="00C95439" w:rsidRPr="00120A65">
        <w:rPr>
          <w:rFonts w:ascii="Calibri Light" w:eastAsia="Calibri" w:hAnsi="Calibri Light" w:cs="Calibri Light"/>
          <w:color w:val="2F2B20" w:themeColor="text1"/>
        </w:rPr>
        <w:t xml:space="preserve">St. Lucie and </w:t>
      </w:r>
      <w:r w:rsidR="00734B57" w:rsidRPr="00120A65">
        <w:rPr>
          <w:rFonts w:ascii="Calibri Light" w:eastAsia="Calibri" w:hAnsi="Calibri Light" w:cs="Calibri Light"/>
          <w:color w:val="2F2B20" w:themeColor="text1"/>
        </w:rPr>
        <w:t xml:space="preserve">Martin </w:t>
      </w:r>
      <w:bookmarkStart w:id="0" w:name="_GoBack"/>
      <w:bookmarkEnd w:id="0"/>
      <w:r w:rsidR="00C95439" w:rsidRPr="00120A65">
        <w:rPr>
          <w:rFonts w:ascii="Calibri Light" w:eastAsia="Calibri" w:hAnsi="Calibri Light" w:cs="Calibri Light"/>
          <w:color w:val="2F2B20" w:themeColor="text1"/>
        </w:rPr>
        <w:t>c</w:t>
      </w:r>
      <w:r w:rsidR="00734B57" w:rsidRPr="00120A65">
        <w:rPr>
          <w:rFonts w:ascii="Calibri Light" w:eastAsia="Calibri" w:hAnsi="Calibri Light" w:cs="Calibri Light"/>
          <w:color w:val="2F2B20" w:themeColor="text1"/>
        </w:rPr>
        <w:t>ount</w:t>
      </w:r>
      <w:r w:rsidR="00C95439" w:rsidRPr="00120A65">
        <w:rPr>
          <w:rFonts w:ascii="Calibri Light" w:eastAsia="Calibri" w:hAnsi="Calibri Light" w:cs="Calibri Light"/>
          <w:color w:val="2F2B20" w:themeColor="text1"/>
        </w:rPr>
        <w:t>ies</w:t>
      </w:r>
      <w:r w:rsidR="00734B57" w:rsidRPr="00120A65">
        <w:rPr>
          <w:rFonts w:ascii="Calibri Light" w:eastAsia="Calibri" w:hAnsi="Calibri Light" w:cs="Calibri Light"/>
          <w:color w:val="2F2B20" w:themeColor="text1"/>
        </w:rPr>
        <w:t>.</w:t>
      </w:r>
    </w:p>
    <w:p w14:paraId="77280161" w14:textId="77777777" w:rsidR="00734B57" w:rsidRPr="00120A65" w:rsidRDefault="00734B57" w:rsidP="00120A65">
      <w:pPr>
        <w:spacing w:after="0" w:line="276" w:lineRule="auto"/>
        <w:rPr>
          <w:rFonts w:ascii="Calibri Light" w:eastAsia="Calibri" w:hAnsi="Calibri Light" w:cs="Calibri Light"/>
        </w:rPr>
      </w:pPr>
    </w:p>
    <w:p w14:paraId="54C9D4C2" w14:textId="44C093A3" w:rsidR="001F75B7" w:rsidRPr="00120A65" w:rsidRDefault="00734B57" w:rsidP="00120A65">
      <w:pPr>
        <w:spacing w:after="0" w:line="276" w:lineRule="auto"/>
        <w:rPr>
          <w:rFonts w:ascii="Calibri Light" w:eastAsia="Calibri" w:hAnsi="Calibri Light" w:cs="Calibri Light"/>
          <w:color w:val="2F2B20" w:themeColor="text1"/>
        </w:rPr>
      </w:pPr>
      <w:r w:rsidRPr="00120A65">
        <w:rPr>
          <w:rFonts w:ascii="Calibri Light" w:eastAsia="Calibri" w:hAnsi="Calibri Light" w:cs="Calibri Light"/>
        </w:rPr>
        <w:t>“</w:t>
      </w:r>
      <w:r w:rsidR="00687CDE" w:rsidRPr="00120A65">
        <w:rPr>
          <w:rFonts w:ascii="Calibri Light" w:hAnsi="Calibri Light" w:cs="Calibri Light"/>
          <w:shd w:val="clear" w:color="auto" w:fill="FFFFFF"/>
        </w:rPr>
        <w:t>Opportunities for both manufacturers and their employees in the area have improved, mirroring the finding of the Regional DOSsIER,” said Jerry Jacques, general manager of Advanced Machine &amp; Tool, Inc. and president of the Treasure Coast Manufacturers Association. “</w:t>
      </w:r>
      <w:r w:rsidRPr="00120A65">
        <w:rPr>
          <w:rFonts w:ascii="Calibri Light" w:eastAsia="Calibri" w:hAnsi="Calibri Light" w:cs="Calibri Light"/>
        </w:rPr>
        <w:t xml:space="preserve">It’s </w:t>
      </w:r>
      <w:r w:rsidR="00CB6454" w:rsidRPr="00120A65">
        <w:rPr>
          <w:rFonts w:ascii="Calibri Light" w:eastAsia="Calibri" w:hAnsi="Calibri Light" w:cs="Calibri Light"/>
          <w:color w:val="2F2B20" w:themeColor="text1"/>
        </w:rPr>
        <w:t>note</w:t>
      </w:r>
      <w:r w:rsidRPr="00120A65">
        <w:rPr>
          <w:rFonts w:ascii="Calibri Light" w:eastAsia="Calibri" w:hAnsi="Calibri Light" w:cs="Calibri Light"/>
          <w:color w:val="2F2B20" w:themeColor="text1"/>
        </w:rPr>
        <w:t>worth</w:t>
      </w:r>
      <w:r w:rsidR="002C1EB0" w:rsidRPr="00120A65">
        <w:rPr>
          <w:rFonts w:ascii="Calibri Light" w:eastAsia="Calibri" w:hAnsi="Calibri Light" w:cs="Calibri Light"/>
          <w:color w:val="2F2B20" w:themeColor="text1"/>
        </w:rPr>
        <w:t xml:space="preserve">y that </w:t>
      </w:r>
      <w:r w:rsidR="000331F9" w:rsidRPr="00120A65">
        <w:rPr>
          <w:rFonts w:ascii="Calibri Light" w:eastAsia="Calibri" w:hAnsi="Calibri Light" w:cs="Calibri Light"/>
          <w:color w:val="2F2B20" w:themeColor="text1"/>
        </w:rPr>
        <w:t>the</w:t>
      </w:r>
      <w:r w:rsidR="002C1EB0" w:rsidRPr="00120A65">
        <w:rPr>
          <w:rFonts w:ascii="Calibri Light" w:eastAsia="Calibri" w:hAnsi="Calibri Light" w:cs="Calibri Light"/>
          <w:color w:val="2F2B20" w:themeColor="text1"/>
        </w:rPr>
        <w:t xml:space="preserve"> concentration in manufacturing has increased every year since 2010, and that we’ve added</w:t>
      </w:r>
      <w:r w:rsidR="00F8657C" w:rsidRPr="00120A65">
        <w:rPr>
          <w:rFonts w:ascii="Calibri Light" w:eastAsia="Calibri" w:hAnsi="Calibri Light" w:cs="Calibri Light"/>
          <w:color w:val="2F2B20" w:themeColor="text1"/>
        </w:rPr>
        <w:t xml:space="preserve"> </w:t>
      </w:r>
      <w:r w:rsidRPr="00120A65">
        <w:rPr>
          <w:rFonts w:ascii="Calibri Light" w:eastAsia="Calibri" w:hAnsi="Calibri Light" w:cs="Calibri Light"/>
          <w:color w:val="2F2B20" w:themeColor="text1"/>
        </w:rPr>
        <w:t xml:space="preserve">58 </w:t>
      </w:r>
      <w:r w:rsidR="002C1EB0" w:rsidRPr="00120A65">
        <w:rPr>
          <w:rFonts w:ascii="Calibri Light" w:eastAsia="Calibri" w:hAnsi="Calibri Light" w:cs="Calibri Light"/>
          <w:color w:val="2F2B20" w:themeColor="text1"/>
        </w:rPr>
        <w:t>new firms over that same period</w:t>
      </w:r>
      <w:r w:rsidR="00687CDE" w:rsidRPr="00120A65">
        <w:rPr>
          <w:rFonts w:ascii="Calibri Light" w:eastAsia="Calibri" w:hAnsi="Calibri Light" w:cs="Calibri Light"/>
          <w:color w:val="2F2B20" w:themeColor="text1"/>
        </w:rPr>
        <w:t>. S</w:t>
      </w:r>
      <w:r w:rsidR="00CB6454" w:rsidRPr="00120A65">
        <w:rPr>
          <w:rFonts w:ascii="Calibri Light" w:eastAsia="Calibri" w:hAnsi="Calibri Light" w:cs="Calibri Light"/>
          <w:color w:val="2F2B20" w:themeColor="text1"/>
        </w:rPr>
        <w:t xml:space="preserve">t. Lucie County </w:t>
      </w:r>
      <w:r w:rsidR="00A45267" w:rsidRPr="00120A65">
        <w:rPr>
          <w:rFonts w:ascii="Calibri Light" w:eastAsia="Calibri" w:hAnsi="Calibri Light" w:cs="Calibri Light"/>
          <w:color w:val="2F2B20" w:themeColor="text1"/>
        </w:rPr>
        <w:t>has</w:t>
      </w:r>
      <w:r w:rsidR="00CB6454" w:rsidRPr="00120A65">
        <w:rPr>
          <w:rFonts w:ascii="Calibri Light" w:eastAsia="Calibri" w:hAnsi="Calibri Light" w:cs="Calibri Light"/>
          <w:color w:val="2F2B20" w:themeColor="text1"/>
        </w:rPr>
        <w:t xml:space="preserve"> great infrastructure and a local government willing and </w:t>
      </w:r>
      <w:r w:rsidR="00A45267" w:rsidRPr="00120A65">
        <w:rPr>
          <w:rFonts w:ascii="Calibri Light" w:eastAsia="Calibri" w:hAnsi="Calibri Light" w:cs="Calibri Light"/>
          <w:color w:val="2F2B20" w:themeColor="text1"/>
        </w:rPr>
        <w:t>ready to provide</w:t>
      </w:r>
      <w:r w:rsidR="00CB6454" w:rsidRPr="00120A65">
        <w:rPr>
          <w:rFonts w:ascii="Calibri Light" w:eastAsia="Calibri" w:hAnsi="Calibri Light" w:cs="Calibri Light"/>
          <w:color w:val="2F2B20" w:themeColor="text1"/>
        </w:rPr>
        <w:t xml:space="preserve"> assistance to both new and existing companies</w:t>
      </w:r>
      <w:r w:rsidR="00687CDE" w:rsidRPr="00120A65">
        <w:rPr>
          <w:rFonts w:ascii="Calibri Light" w:eastAsia="Calibri" w:hAnsi="Calibri Light" w:cs="Calibri Light"/>
          <w:color w:val="2F2B20" w:themeColor="text1"/>
        </w:rPr>
        <w:t>, and o</w:t>
      </w:r>
      <w:r w:rsidR="00A45267" w:rsidRPr="00120A65">
        <w:rPr>
          <w:rFonts w:ascii="Calibri Light" w:eastAsia="Calibri" w:hAnsi="Calibri Light" w:cs="Calibri Light"/>
          <w:color w:val="2F2B20" w:themeColor="text1"/>
        </w:rPr>
        <w:t>ur</w:t>
      </w:r>
      <w:r w:rsidR="004731BB" w:rsidRPr="00120A65">
        <w:rPr>
          <w:rFonts w:ascii="Calibri Light" w:eastAsia="Calibri" w:hAnsi="Calibri Light" w:cs="Calibri Light"/>
          <w:color w:val="2F2B20" w:themeColor="text1"/>
        </w:rPr>
        <w:t xml:space="preserve"> educational institutions are eagerly developing</w:t>
      </w:r>
      <w:r w:rsidR="00DB777E" w:rsidRPr="00120A65">
        <w:rPr>
          <w:rFonts w:ascii="Calibri Light" w:eastAsia="Calibri" w:hAnsi="Calibri Light" w:cs="Calibri Light"/>
          <w:color w:val="2F2B20" w:themeColor="text1"/>
        </w:rPr>
        <w:t xml:space="preserve"> curriculums to support</w:t>
      </w:r>
      <w:r w:rsidR="004731BB" w:rsidRPr="00120A65">
        <w:rPr>
          <w:rFonts w:ascii="Calibri Light" w:eastAsia="Calibri" w:hAnsi="Calibri Light" w:cs="Calibri Light"/>
          <w:color w:val="2F2B20" w:themeColor="text1"/>
        </w:rPr>
        <w:t xml:space="preserve"> a skilled </w:t>
      </w:r>
      <w:r w:rsidR="00DB33EB" w:rsidRPr="00120A65">
        <w:rPr>
          <w:rFonts w:ascii="Calibri Light" w:eastAsia="Calibri" w:hAnsi="Calibri Light" w:cs="Calibri Light"/>
          <w:color w:val="2F2B20" w:themeColor="text1"/>
        </w:rPr>
        <w:t xml:space="preserve">manufacturing </w:t>
      </w:r>
      <w:r w:rsidR="004731BB" w:rsidRPr="00120A65">
        <w:rPr>
          <w:rFonts w:ascii="Calibri Light" w:eastAsia="Calibri" w:hAnsi="Calibri Light" w:cs="Calibri Light"/>
          <w:color w:val="2F2B20" w:themeColor="text1"/>
        </w:rPr>
        <w:t>workforce. All of these point toward many years of positive growth in St. Lucie’s future.”</w:t>
      </w:r>
    </w:p>
    <w:p w14:paraId="5DF3ED51" w14:textId="77777777" w:rsidR="001F75B7" w:rsidRPr="00120A65" w:rsidRDefault="001F75B7" w:rsidP="00120A65">
      <w:pPr>
        <w:spacing w:after="0" w:line="276" w:lineRule="auto"/>
        <w:rPr>
          <w:rFonts w:ascii="Calibri Light" w:eastAsia="Calibri" w:hAnsi="Calibri Light" w:cs="Calibri Light"/>
          <w:color w:val="2F2B20" w:themeColor="text1"/>
        </w:rPr>
      </w:pPr>
    </w:p>
    <w:p w14:paraId="71E42A45" w14:textId="77777777" w:rsidR="001F75B7" w:rsidRPr="00120A65" w:rsidRDefault="00D61131" w:rsidP="00120A65">
      <w:pPr>
        <w:spacing w:after="0" w:line="276" w:lineRule="auto"/>
        <w:rPr>
          <w:rFonts w:ascii="Calibri Light" w:eastAsia="Calibri" w:hAnsi="Calibri Light" w:cs="Calibri Light"/>
          <w:color w:val="2F2B20" w:themeColor="text1"/>
        </w:rPr>
      </w:pPr>
      <w:r w:rsidRPr="00120A65">
        <w:rPr>
          <w:rFonts w:ascii="Calibri Light" w:eastAsia="Calibri" w:hAnsi="Calibri Light" w:cs="Calibri Light"/>
          <w:color w:val="2F2B20" w:themeColor="text1"/>
        </w:rPr>
        <w:t>In a trend pre-dating the Great Recession, m</w:t>
      </w:r>
      <w:r w:rsidR="001F75B7" w:rsidRPr="00120A65">
        <w:rPr>
          <w:rFonts w:ascii="Calibri Light" w:eastAsia="Calibri" w:hAnsi="Calibri Light" w:cs="Calibri Light"/>
          <w:color w:val="2F2B20" w:themeColor="text1"/>
        </w:rPr>
        <w:t>anufacturing</w:t>
      </w:r>
      <w:r w:rsidR="00965767" w:rsidRPr="00120A65">
        <w:rPr>
          <w:rFonts w:ascii="Calibri Light" w:eastAsia="Calibri" w:hAnsi="Calibri Light" w:cs="Calibri Light"/>
          <w:color w:val="2F2B20" w:themeColor="text1"/>
        </w:rPr>
        <w:t>’s share of the area’s private</w:t>
      </w:r>
      <w:r w:rsidR="001F75B7" w:rsidRPr="00120A65">
        <w:rPr>
          <w:rFonts w:ascii="Calibri Light" w:eastAsia="Calibri" w:hAnsi="Calibri Light" w:cs="Calibri Light"/>
          <w:color w:val="2F2B20" w:themeColor="text1"/>
        </w:rPr>
        <w:t xml:space="preserve"> GDP</w:t>
      </w:r>
      <w:r w:rsidR="00965767" w:rsidRPr="00120A65">
        <w:rPr>
          <w:rFonts w:ascii="Calibri Light" w:eastAsia="Calibri" w:hAnsi="Calibri Light" w:cs="Calibri Light"/>
          <w:color w:val="2F2B20" w:themeColor="text1"/>
        </w:rPr>
        <w:t xml:space="preserve"> </w:t>
      </w:r>
      <w:r w:rsidRPr="00120A65">
        <w:rPr>
          <w:rFonts w:ascii="Calibri Light" w:eastAsia="Calibri" w:hAnsi="Calibri Light" w:cs="Calibri Light"/>
          <w:color w:val="2F2B20" w:themeColor="text1"/>
        </w:rPr>
        <w:t>continues to rise, now contributing $602 million or 6.2 percent to the total private GDP, up from 4.8 percent in 2001.</w:t>
      </w:r>
      <w:r w:rsidR="00965767" w:rsidRPr="00120A65">
        <w:rPr>
          <w:rFonts w:ascii="Calibri Light" w:eastAsia="Calibri" w:hAnsi="Calibri Light" w:cs="Calibri Light"/>
          <w:color w:val="2F2B20" w:themeColor="text1"/>
        </w:rPr>
        <w:t xml:space="preserve"> </w:t>
      </w:r>
    </w:p>
    <w:p w14:paraId="59367DD8" w14:textId="77777777" w:rsidR="001F75B7" w:rsidRPr="00120A65" w:rsidRDefault="001F75B7" w:rsidP="00120A65">
      <w:pPr>
        <w:spacing w:after="0" w:line="276" w:lineRule="auto"/>
        <w:rPr>
          <w:rFonts w:ascii="Calibri Light" w:eastAsia="Calibri" w:hAnsi="Calibri Light" w:cs="Calibri Light"/>
          <w:color w:val="2F2B20" w:themeColor="text1"/>
        </w:rPr>
      </w:pPr>
    </w:p>
    <w:p w14:paraId="1A86AD26" w14:textId="77777777" w:rsidR="00941C84" w:rsidRPr="00120A65" w:rsidRDefault="00941C84" w:rsidP="00120A65">
      <w:pPr>
        <w:spacing w:after="0" w:line="276" w:lineRule="auto"/>
        <w:rPr>
          <w:rFonts w:ascii="Calibri Light" w:eastAsia="Calibri" w:hAnsi="Calibri Light" w:cs="Calibri Light"/>
          <w:color w:val="2F2B20" w:themeColor="text1"/>
        </w:rPr>
      </w:pPr>
      <w:r w:rsidRPr="00120A65">
        <w:rPr>
          <w:rFonts w:ascii="Calibri Light" w:eastAsia="Calibri" w:hAnsi="Calibri Light" w:cs="Calibri Light"/>
          <w:color w:val="2F2B20" w:themeColor="text1"/>
        </w:rPr>
        <w:t>Accounting for more than 6,000 private sector jobs, employees in</w:t>
      </w:r>
      <w:r w:rsidR="006C7CF2" w:rsidRPr="00120A65">
        <w:rPr>
          <w:rFonts w:ascii="Calibri Light" w:eastAsia="Calibri" w:hAnsi="Calibri Light" w:cs="Calibri Light"/>
          <w:color w:val="2F2B20" w:themeColor="text1"/>
        </w:rPr>
        <w:t xml:space="preserve"> the man</w:t>
      </w:r>
      <w:r w:rsidRPr="00120A65">
        <w:rPr>
          <w:rFonts w:ascii="Calibri Light" w:eastAsia="Calibri" w:hAnsi="Calibri Light" w:cs="Calibri Light"/>
          <w:color w:val="2F2B20" w:themeColor="text1"/>
        </w:rPr>
        <w:t xml:space="preserve">ufacturing sectors of the </w:t>
      </w:r>
      <w:r w:rsidR="0095575B" w:rsidRPr="00120A65">
        <w:rPr>
          <w:rFonts w:ascii="Calibri Light" w:eastAsia="Calibri" w:hAnsi="Calibri Light" w:cs="Calibri Light"/>
          <w:color w:val="2F2B20" w:themeColor="text1"/>
        </w:rPr>
        <w:t xml:space="preserve">Port St. Lucie </w:t>
      </w:r>
      <w:r w:rsidRPr="00120A65">
        <w:rPr>
          <w:rFonts w:ascii="Calibri Light" w:eastAsia="Calibri" w:hAnsi="Calibri Light" w:cs="Calibri Light"/>
          <w:color w:val="2F2B20" w:themeColor="text1"/>
        </w:rPr>
        <w:t xml:space="preserve">MSA earn an annual average wage of $50,250, </w:t>
      </w:r>
      <w:r w:rsidR="00965767" w:rsidRPr="00120A65">
        <w:rPr>
          <w:rFonts w:ascii="Calibri Light" w:eastAsia="Calibri" w:hAnsi="Calibri Light" w:cs="Calibri Light"/>
          <w:color w:val="2F2B20" w:themeColor="text1"/>
        </w:rPr>
        <w:t>in jobs that pay</w:t>
      </w:r>
      <w:r w:rsidR="0095575B" w:rsidRPr="00120A65">
        <w:rPr>
          <w:rFonts w:ascii="Calibri Light" w:eastAsia="Calibri" w:hAnsi="Calibri Light" w:cs="Calibri Light"/>
          <w:color w:val="2F2B20" w:themeColor="text1"/>
        </w:rPr>
        <w:t xml:space="preserve"> </w:t>
      </w:r>
      <w:r w:rsidRPr="00120A65">
        <w:rPr>
          <w:rFonts w:ascii="Calibri Light" w:eastAsia="Calibri" w:hAnsi="Calibri Light" w:cs="Calibri Light"/>
          <w:color w:val="2F2B20" w:themeColor="text1"/>
        </w:rPr>
        <w:t>$12,250 above the average annual wage</w:t>
      </w:r>
      <w:r w:rsidR="00DB777E" w:rsidRPr="00120A65">
        <w:rPr>
          <w:rFonts w:ascii="Calibri Light" w:eastAsia="Calibri" w:hAnsi="Calibri Light" w:cs="Calibri Light"/>
          <w:color w:val="2F2B20" w:themeColor="text1"/>
        </w:rPr>
        <w:t xml:space="preserve"> of the MSA</w:t>
      </w:r>
      <w:r w:rsidRPr="00120A65">
        <w:rPr>
          <w:rFonts w:ascii="Calibri Light" w:eastAsia="Calibri" w:hAnsi="Calibri Light" w:cs="Calibri Light"/>
          <w:color w:val="2F2B20" w:themeColor="text1"/>
        </w:rPr>
        <w:t xml:space="preserve"> </w:t>
      </w:r>
      <w:r w:rsidR="0095575B" w:rsidRPr="00120A65">
        <w:rPr>
          <w:rFonts w:ascii="Calibri Light" w:eastAsia="Calibri" w:hAnsi="Calibri Light" w:cs="Calibri Light"/>
          <w:color w:val="2F2B20" w:themeColor="text1"/>
        </w:rPr>
        <w:t>for all industries.</w:t>
      </w:r>
      <w:r w:rsidRPr="00120A65">
        <w:rPr>
          <w:rFonts w:ascii="Calibri Light" w:eastAsia="Calibri" w:hAnsi="Calibri Light" w:cs="Calibri Light"/>
          <w:color w:val="2F2B20" w:themeColor="text1"/>
        </w:rPr>
        <w:t xml:space="preserve"> </w:t>
      </w:r>
      <w:r w:rsidR="006C7CF2" w:rsidRPr="00120A65">
        <w:rPr>
          <w:rFonts w:ascii="Calibri Light" w:eastAsia="Calibri" w:hAnsi="Calibri Light" w:cs="Calibri Light"/>
          <w:color w:val="2F2B20" w:themeColor="text1"/>
        </w:rPr>
        <w:t>Moreover,</w:t>
      </w:r>
      <w:r w:rsidR="00D61131" w:rsidRPr="00120A65">
        <w:rPr>
          <w:rFonts w:ascii="Calibri Light" w:eastAsia="Calibri" w:hAnsi="Calibri Light" w:cs="Calibri Light"/>
          <w:color w:val="2F2B20" w:themeColor="text1"/>
        </w:rPr>
        <w:t xml:space="preserve"> in a total of 14 manufacturing subsectors,</w:t>
      </w:r>
      <w:r w:rsidR="006C7CF2" w:rsidRPr="00120A65">
        <w:rPr>
          <w:rFonts w:ascii="Calibri Light" w:eastAsia="Calibri" w:hAnsi="Calibri Light" w:cs="Calibri Light"/>
          <w:color w:val="2F2B20" w:themeColor="text1"/>
        </w:rPr>
        <w:t xml:space="preserve"> </w:t>
      </w:r>
      <w:r w:rsidR="0095575B" w:rsidRPr="00120A65">
        <w:rPr>
          <w:rFonts w:ascii="Calibri Light" w:eastAsia="Calibri" w:hAnsi="Calibri Light" w:cs="Calibri Light"/>
          <w:color w:val="2F2B20" w:themeColor="text1"/>
        </w:rPr>
        <w:t>ten</w:t>
      </w:r>
      <w:r w:rsidR="00D90136" w:rsidRPr="00120A65">
        <w:rPr>
          <w:rFonts w:ascii="Calibri Light" w:eastAsia="Calibri" w:hAnsi="Calibri Light" w:cs="Calibri Light"/>
          <w:color w:val="2F2B20" w:themeColor="text1"/>
        </w:rPr>
        <w:t xml:space="preserve"> </w:t>
      </w:r>
      <w:r w:rsidR="006C7CF2" w:rsidRPr="00120A65">
        <w:rPr>
          <w:rFonts w:ascii="Calibri Light" w:eastAsia="Calibri" w:hAnsi="Calibri Light" w:cs="Calibri Light"/>
          <w:color w:val="2F2B20" w:themeColor="text1"/>
        </w:rPr>
        <w:t xml:space="preserve">outperformed the state </w:t>
      </w:r>
      <w:r w:rsidR="00DB777E" w:rsidRPr="00120A65">
        <w:rPr>
          <w:rFonts w:ascii="Calibri Light" w:eastAsia="Calibri" w:hAnsi="Calibri Light" w:cs="Calibri Light"/>
          <w:color w:val="2F2B20" w:themeColor="text1"/>
        </w:rPr>
        <w:t>f</w:t>
      </w:r>
      <w:r w:rsidR="006C7CF2" w:rsidRPr="00120A65">
        <w:rPr>
          <w:rFonts w:ascii="Calibri Light" w:eastAsia="Calibri" w:hAnsi="Calibri Light" w:cs="Calibri Light"/>
          <w:color w:val="2F2B20" w:themeColor="text1"/>
        </w:rPr>
        <w:t>rom 2010 to 2015.</w:t>
      </w:r>
    </w:p>
    <w:p w14:paraId="5A0EF403" w14:textId="77777777" w:rsidR="005536DD" w:rsidRPr="00120A65" w:rsidRDefault="005536DD" w:rsidP="00120A65">
      <w:pPr>
        <w:spacing w:after="0" w:line="276" w:lineRule="auto"/>
        <w:rPr>
          <w:rFonts w:ascii="Calibri Light" w:eastAsia="Calibri" w:hAnsi="Calibri Light" w:cs="Calibri Light"/>
          <w:color w:val="2F2B20" w:themeColor="text1"/>
        </w:rPr>
      </w:pPr>
    </w:p>
    <w:p w14:paraId="3BAD50F0" w14:textId="3715201C" w:rsidR="00D90136" w:rsidRPr="00120A65" w:rsidRDefault="005536DD" w:rsidP="00120A65">
      <w:pPr>
        <w:spacing w:after="0" w:line="276" w:lineRule="auto"/>
        <w:rPr>
          <w:rFonts w:ascii="Calibri Light" w:eastAsia="Calibri" w:hAnsi="Calibri Light" w:cs="Calibri Light"/>
          <w:color w:val="2F2B20" w:themeColor="text1"/>
        </w:rPr>
      </w:pPr>
      <w:r w:rsidRPr="00120A65">
        <w:rPr>
          <w:rFonts w:ascii="Calibri Light" w:eastAsia="Calibri" w:hAnsi="Calibri Light" w:cs="Calibri Light"/>
          <w:color w:val="2F2B20"/>
        </w:rPr>
        <w:t>“Florida’s manufacturing jobs are growing faster than any other state in the nation and Port St. Lucie’s strong competitive advantage in manufacturing is contributing to that growth,” said Cissy Proctor, Executive Director of the Florida Department of Economic Opportunity. “Investing in and marketing Florida’s manufacturing sector is important to our state’s economic diversification efforts and helps provide new high-skill, high-wage jobs to local job seekers.”</w:t>
      </w:r>
    </w:p>
    <w:p w14:paraId="630066C2" w14:textId="77777777" w:rsidR="006C374D" w:rsidRPr="00120A65" w:rsidRDefault="006C374D" w:rsidP="00120A65">
      <w:pPr>
        <w:spacing w:after="0" w:line="276" w:lineRule="auto"/>
        <w:rPr>
          <w:rFonts w:ascii="Calibri Light" w:eastAsia="Calibri" w:hAnsi="Calibri Light" w:cs="Calibri Light"/>
          <w:color w:val="2F2B20" w:themeColor="text1"/>
        </w:rPr>
      </w:pPr>
    </w:p>
    <w:p w14:paraId="7A97F4EC" w14:textId="2592ECE8" w:rsidR="005536DD" w:rsidRPr="00120A65" w:rsidRDefault="002674BE" w:rsidP="00120A65">
      <w:pPr>
        <w:spacing w:after="0" w:line="276" w:lineRule="auto"/>
        <w:rPr>
          <w:rFonts w:ascii="Calibri Light" w:eastAsia="Calibri" w:hAnsi="Calibri Light" w:cs="Calibri Light"/>
          <w:color w:val="2F2B20"/>
        </w:rPr>
      </w:pPr>
      <w:r w:rsidRPr="00120A65">
        <w:rPr>
          <w:rFonts w:ascii="Calibri Light" w:eastAsia="Calibri" w:hAnsi="Calibri Light" w:cs="Calibri Light"/>
          <w:color w:val="2F2B20"/>
        </w:rPr>
        <w:t>Beyond regional and state influences, low unemployment levels are supporting higher wages and increased spending, which generates sustained demand for all types of commercial property. Potential deregulation at the federal level is fueling optimism, too.</w:t>
      </w:r>
    </w:p>
    <w:p w14:paraId="2C44B15D" w14:textId="77777777" w:rsidR="003534F6" w:rsidRPr="00120A65" w:rsidRDefault="003534F6" w:rsidP="00120A65">
      <w:pPr>
        <w:spacing w:after="0" w:line="276" w:lineRule="auto"/>
        <w:rPr>
          <w:rFonts w:ascii="Calibri Light" w:eastAsia="Calibri" w:hAnsi="Calibri Light" w:cs="Calibri Light"/>
          <w:color w:val="2F2B20" w:themeColor="text1"/>
        </w:rPr>
      </w:pPr>
    </w:p>
    <w:p w14:paraId="5821E16A" w14:textId="0A5D339F" w:rsidR="003534F6" w:rsidRPr="00120A65" w:rsidRDefault="003534F6" w:rsidP="00120A65">
      <w:pPr>
        <w:spacing w:after="0" w:line="276" w:lineRule="auto"/>
        <w:rPr>
          <w:rFonts w:ascii="Calibri Light" w:eastAsia="Calibri" w:hAnsi="Calibri Light" w:cs="Calibri Light"/>
        </w:rPr>
      </w:pPr>
      <w:r w:rsidRPr="00120A65">
        <w:rPr>
          <w:rFonts w:ascii="Calibri Light" w:eastAsia="Calibri" w:hAnsi="Calibri Light" w:cs="Calibri Light"/>
        </w:rPr>
        <w:t>Florida ranks among the nation’s top 10 states for manufacturing</w:t>
      </w:r>
      <w:r w:rsidR="00387CE5" w:rsidRPr="00120A65">
        <w:rPr>
          <w:rFonts w:ascii="Calibri Light" w:eastAsia="Calibri" w:hAnsi="Calibri Light" w:cs="Calibri Light"/>
        </w:rPr>
        <w:t xml:space="preserve"> employment </w:t>
      </w:r>
      <w:r w:rsidR="002674BE" w:rsidRPr="00120A65">
        <w:rPr>
          <w:rFonts w:ascii="Calibri Light" w:eastAsia="Calibri" w:hAnsi="Calibri Light" w:cs="Calibri Light"/>
        </w:rPr>
        <w:t>growth</w:t>
      </w:r>
      <w:r w:rsidRPr="00120A65">
        <w:rPr>
          <w:rFonts w:ascii="Calibri Light" w:eastAsia="Calibri" w:hAnsi="Calibri Light" w:cs="Calibri Light"/>
        </w:rPr>
        <w:t xml:space="preserve"> and is home to more than 18,600 manufacturing companies. The state’s 321,000+ manufacturing employees produce a wide variety of goods including aerospace products, batteries, food and beverages, communications equipment, pharmaceuticals, semiconductors, boats, and more.</w:t>
      </w:r>
    </w:p>
    <w:p w14:paraId="10974405" w14:textId="77777777" w:rsidR="00120A65" w:rsidRPr="00120A65" w:rsidRDefault="00120A65" w:rsidP="00120A65">
      <w:pPr>
        <w:spacing w:after="0" w:line="276" w:lineRule="auto"/>
        <w:rPr>
          <w:rFonts w:ascii="Calibri Light" w:eastAsia="Calibri" w:hAnsi="Calibri Light" w:cs="Calibri Light"/>
        </w:rPr>
      </w:pPr>
    </w:p>
    <w:p w14:paraId="26D179A6" w14:textId="77777777" w:rsidR="00B5218C" w:rsidRPr="00120A65" w:rsidRDefault="00BE47D8" w:rsidP="00120A65">
      <w:pPr>
        <w:spacing w:after="0" w:line="276" w:lineRule="auto"/>
        <w:rPr>
          <w:rFonts w:ascii="Calibri Light" w:eastAsia="Calibri" w:hAnsi="Calibri Light" w:cs="Calibri Light"/>
        </w:rPr>
      </w:pPr>
      <w:r w:rsidRPr="00120A65">
        <w:rPr>
          <w:rFonts w:ascii="Calibri Light" w:eastAsia="Calibri" w:hAnsi="Calibri Light" w:cs="Calibri Light"/>
          <w:bCs/>
        </w:rPr>
        <w:t>For every $1.00 spent in manufacturing, another $1.81 is added to the economy.</w:t>
      </w:r>
      <w:r w:rsidRPr="00120A65">
        <w:rPr>
          <w:rFonts w:ascii="Calibri Light" w:eastAsia="Calibri" w:hAnsi="Calibri Light" w:cs="Calibri Light"/>
        </w:rPr>
        <w:t> That is the highest multiplier effect of any economic sector.</w:t>
      </w:r>
    </w:p>
    <w:p w14:paraId="16192F16" w14:textId="5F302C77" w:rsidR="00120A65" w:rsidRPr="00120A65" w:rsidRDefault="002D205F" w:rsidP="00120A65">
      <w:pPr>
        <w:spacing w:after="200" w:line="276" w:lineRule="auto"/>
        <w:jc w:val="center"/>
        <w:rPr>
          <w:rFonts w:ascii="Calibri Light" w:eastAsia="Times New Roman" w:hAnsi="Calibri Light" w:cs="Calibri Light"/>
          <w:b/>
        </w:rPr>
      </w:pPr>
      <w:r w:rsidRPr="00120A65">
        <w:rPr>
          <w:rFonts w:ascii="Calibri Light" w:eastAsia="Calibri" w:hAnsi="Calibri Light" w:cs="Calibri Light"/>
        </w:rPr>
        <w:t>- ### -</w:t>
      </w:r>
    </w:p>
    <w:p w14:paraId="7C9E6325" w14:textId="77777777" w:rsidR="00B5218C" w:rsidRPr="00687CDE" w:rsidRDefault="00B5218C" w:rsidP="00B5218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b/>
          <w:sz w:val="20"/>
          <w:szCs w:val="20"/>
        </w:rPr>
      </w:pPr>
    </w:p>
    <w:p w14:paraId="577DB419" w14:textId="0B08797D" w:rsidR="004731BB" w:rsidRPr="00120A65" w:rsidRDefault="00B5218C" w:rsidP="00B5218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Calibri Light" w:eastAsia="Times New Roman" w:hAnsi="Calibri Light" w:cs="Calibri Light"/>
          <w:b/>
          <w:sz w:val="18"/>
          <w:szCs w:val="18"/>
        </w:rPr>
      </w:pPr>
      <w:r w:rsidRPr="00120A65">
        <w:rPr>
          <w:rFonts w:ascii="Calibri Light" w:eastAsia="Times New Roman" w:hAnsi="Calibri Light" w:cs="Calibri Light"/>
          <w:b/>
          <w:sz w:val="18"/>
          <w:szCs w:val="18"/>
        </w:rPr>
        <w:t>The Economic Development Council of St. Lucie County, Inc. is a public/private</w:t>
      </w:r>
      <w:r w:rsidR="00120A65" w:rsidRPr="00120A65">
        <w:rPr>
          <w:rFonts w:ascii="Calibri Light" w:eastAsia="Times New Roman" w:hAnsi="Calibri Light" w:cs="Calibri Light"/>
          <w:b/>
          <w:sz w:val="18"/>
          <w:szCs w:val="18"/>
        </w:rPr>
        <w:t xml:space="preserve"> </w:t>
      </w:r>
      <w:r w:rsidRPr="00120A65">
        <w:rPr>
          <w:rFonts w:ascii="Calibri Light" w:eastAsia="Times New Roman" w:hAnsi="Calibri Light" w:cs="Calibri Light"/>
          <w:b/>
          <w:sz w:val="18"/>
          <w:szCs w:val="18"/>
        </w:rPr>
        <w:t>501(C) 6 corporation established to attract new business, support expansion and retention of existing businesses, and advance community and economic development in St. Lucie County. The goal of the EDC is to develop high-wage, high-skill jobs in our community.</w:t>
      </w:r>
    </w:p>
    <w:sectPr w:rsidR="004731BB" w:rsidRPr="00120A6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A769B" w14:textId="77777777" w:rsidR="00DC3D58" w:rsidRDefault="00DC3D58" w:rsidP="00255868">
      <w:pPr>
        <w:spacing w:after="0" w:line="240" w:lineRule="auto"/>
      </w:pPr>
      <w:r>
        <w:separator/>
      </w:r>
    </w:p>
  </w:endnote>
  <w:endnote w:type="continuationSeparator" w:id="0">
    <w:p w14:paraId="258E358E" w14:textId="77777777" w:rsidR="00DC3D58" w:rsidRDefault="00DC3D58" w:rsidP="00255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7CF3D" w14:textId="77777777" w:rsidR="009904C4" w:rsidRDefault="009904C4">
    <w:pPr>
      <w:pStyle w:val="Footer"/>
    </w:pPr>
    <w:r>
      <w:rPr>
        <w:noProof/>
      </w:rPr>
      <w:drawing>
        <wp:inline distT="0" distB="0" distL="0" distR="0" wp14:anchorId="72079D42" wp14:editId="2928F14D">
          <wp:extent cx="5943600" cy="7594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C 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594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17115" w14:textId="77777777" w:rsidR="00DC3D58" w:rsidRDefault="00DC3D58" w:rsidP="00255868">
      <w:pPr>
        <w:spacing w:after="0" w:line="240" w:lineRule="auto"/>
      </w:pPr>
      <w:r>
        <w:separator/>
      </w:r>
    </w:p>
  </w:footnote>
  <w:footnote w:type="continuationSeparator" w:id="0">
    <w:p w14:paraId="4B29BE6B" w14:textId="77777777" w:rsidR="00DC3D58" w:rsidRDefault="00DC3D58" w:rsidP="002558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1544B"/>
    <w:multiLevelType w:val="hybridMultilevel"/>
    <w:tmpl w:val="3DB6F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B144A"/>
    <w:multiLevelType w:val="hybridMultilevel"/>
    <w:tmpl w:val="291A5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44A2F"/>
    <w:multiLevelType w:val="hybridMultilevel"/>
    <w:tmpl w:val="7C5E8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934AD"/>
    <w:multiLevelType w:val="hybridMultilevel"/>
    <w:tmpl w:val="1E5CFCA0"/>
    <w:lvl w:ilvl="0" w:tplc="4A806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744542"/>
    <w:multiLevelType w:val="hybridMultilevel"/>
    <w:tmpl w:val="5C06B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CF537F"/>
    <w:multiLevelType w:val="hybridMultilevel"/>
    <w:tmpl w:val="DDBE513A"/>
    <w:lvl w:ilvl="0" w:tplc="9AECD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2023AB"/>
    <w:multiLevelType w:val="hybridMultilevel"/>
    <w:tmpl w:val="0F489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E953DB"/>
    <w:multiLevelType w:val="hybridMultilevel"/>
    <w:tmpl w:val="AF32C2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2A4015"/>
    <w:multiLevelType w:val="hybridMultilevel"/>
    <w:tmpl w:val="6CAA4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5903B2"/>
    <w:multiLevelType w:val="hybridMultilevel"/>
    <w:tmpl w:val="DE4C9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CA5485"/>
    <w:multiLevelType w:val="hybridMultilevel"/>
    <w:tmpl w:val="5EC081B6"/>
    <w:lvl w:ilvl="0" w:tplc="4A806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12654D"/>
    <w:multiLevelType w:val="hybridMultilevel"/>
    <w:tmpl w:val="30B61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B226DD"/>
    <w:multiLevelType w:val="hybridMultilevel"/>
    <w:tmpl w:val="A8AC5F8A"/>
    <w:lvl w:ilvl="0" w:tplc="CCD245A2">
      <w:start w:val="2"/>
      <w:numFmt w:val="bullet"/>
      <w:lvlText w:val="-"/>
      <w:lvlJc w:val="left"/>
      <w:pPr>
        <w:ind w:left="3960" w:hanging="360"/>
      </w:pPr>
      <w:rPr>
        <w:rFonts w:ascii="Calibri" w:eastAsia="Calibri" w:hAnsi="Calibri" w:cs="Times New Roman"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abstractNum w:abstractNumId="13" w15:restartNumberingAfterBreak="0">
    <w:nsid w:val="757149C7"/>
    <w:multiLevelType w:val="hybridMultilevel"/>
    <w:tmpl w:val="9A6E131A"/>
    <w:lvl w:ilvl="0" w:tplc="4DA29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8"/>
  </w:num>
  <w:num w:numId="4">
    <w:abstractNumId w:val="6"/>
  </w:num>
  <w:num w:numId="5">
    <w:abstractNumId w:val="9"/>
  </w:num>
  <w:num w:numId="6">
    <w:abstractNumId w:val="1"/>
  </w:num>
  <w:num w:numId="7">
    <w:abstractNumId w:val="5"/>
  </w:num>
  <w:num w:numId="8">
    <w:abstractNumId w:val="10"/>
  </w:num>
  <w:num w:numId="9">
    <w:abstractNumId w:val="2"/>
  </w:num>
  <w:num w:numId="10">
    <w:abstractNumId w:val="3"/>
  </w:num>
  <w:num w:numId="11">
    <w:abstractNumId w:val="4"/>
  </w:num>
  <w:num w:numId="12">
    <w:abstractNumId w:val="1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20"/>
  <w:characterSpacingControl w:val="doNotCompress"/>
  <w:hdrShapeDefaults>
    <o:shapedefaults v:ext="edit" spidmax="6145">
      <o:colormru v:ext="edit" colors="#cff,#cc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3AE"/>
    <w:rsid w:val="00007F56"/>
    <w:rsid w:val="000331F9"/>
    <w:rsid w:val="0004002E"/>
    <w:rsid w:val="00040FD5"/>
    <w:rsid w:val="000656E0"/>
    <w:rsid w:val="000B30E8"/>
    <w:rsid w:val="000D641F"/>
    <w:rsid w:val="001101A5"/>
    <w:rsid w:val="0011672A"/>
    <w:rsid w:val="00120A65"/>
    <w:rsid w:val="001232B4"/>
    <w:rsid w:val="00131006"/>
    <w:rsid w:val="0013434C"/>
    <w:rsid w:val="001556FA"/>
    <w:rsid w:val="00170702"/>
    <w:rsid w:val="001B252A"/>
    <w:rsid w:val="001B59E2"/>
    <w:rsid w:val="001B7941"/>
    <w:rsid w:val="001E7A03"/>
    <w:rsid w:val="001F75B7"/>
    <w:rsid w:val="002209F3"/>
    <w:rsid w:val="0025115D"/>
    <w:rsid w:val="00255868"/>
    <w:rsid w:val="002674BE"/>
    <w:rsid w:val="002927EB"/>
    <w:rsid w:val="00294C1F"/>
    <w:rsid w:val="002B3495"/>
    <w:rsid w:val="002C1EB0"/>
    <w:rsid w:val="002D205F"/>
    <w:rsid w:val="002D55BE"/>
    <w:rsid w:val="002F0DB1"/>
    <w:rsid w:val="002F593E"/>
    <w:rsid w:val="002F7AE3"/>
    <w:rsid w:val="0031641D"/>
    <w:rsid w:val="00317C06"/>
    <w:rsid w:val="00326267"/>
    <w:rsid w:val="003332F3"/>
    <w:rsid w:val="003534F6"/>
    <w:rsid w:val="00387CE5"/>
    <w:rsid w:val="003B2C19"/>
    <w:rsid w:val="003C55BA"/>
    <w:rsid w:val="00402507"/>
    <w:rsid w:val="00405AAA"/>
    <w:rsid w:val="00406AF9"/>
    <w:rsid w:val="004123FF"/>
    <w:rsid w:val="0041372F"/>
    <w:rsid w:val="004269F6"/>
    <w:rsid w:val="00471043"/>
    <w:rsid w:val="004731BB"/>
    <w:rsid w:val="00494726"/>
    <w:rsid w:val="004C15D1"/>
    <w:rsid w:val="004F24EF"/>
    <w:rsid w:val="004F33AE"/>
    <w:rsid w:val="00501B9D"/>
    <w:rsid w:val="005020B9"/>
    <w:rsid w:val="0050308A"/>
    <w:rsid w:val="005054E8"/>
    <w:rsid w:val="00506516"/>
    <w:rsid w:val="00517C97"/>
    <w:rsid w:val="005247E9"/>
    <w:rsid w:val="005278B4"/>
    <w:rsid w:val="00546AA5"/>
    <w:rsid w:val="005536DD"/>
    <w:rsid w:val="005741CC"/>
    <w:rsid w:val="005A0551"/>
    <w:rsid w:val="005D43FE"/>
    <w:rsid w:val="005E0673"/>
    <w:rsid w:val="00643E0D"/>
    <w:rsid w:val="006573F4"/>
    <w:rsid w:val="00661243"/>
    <w:rsid w:val="006666EE"/>
    <w:rsid w:val="00687CDE"/>
    <w:rsid w:val="006A0CD8"/>
    <w:rsid w:val="006A1992"/>
    <w:rsid w:val="006C374D"/>
    <w:rsid w:val="006C7CF2"/>
    <w:rsid w:val="006C7DDF"/>
    <w:rsid w:val="006E3D0B"/>
    <w:rsid w:val="006E6F2E"/>
    <w:rsid w:val="0070477F"/>
    <w:rsid w:val="00721BE2"/>
    <w:rsid w:val="00734B57"/>
    <w:rsid w:val="0074674C"/>
    <w:rsid w:val="00762B3A"/>
    <w:rsid w:val="00763C25"/>
    <w:rsid w:val="00765D90"/>
    <w:rsid w:val="00775EFD"/>
    <w:rsid w:val="00792FB3"/>
    <w:rsid w:val="007A6542"/>
    <w:rsid w:val="007B0CE0"/>
    <w:rsid w:val="007B60B8"/>
    <w:rsid w:val="007E0D4F"/>
    <w:rsid w:val="007E77E2"/>
    <w:rsid w:val="00801449"/>
    <w:rsid w:val="00817829"/>
    <w:rsid w:val="00817934"/>
    <w:rsid w:val="00836389"/>
    <w:rsid w:val="008440F8"/>
    <w:rsid w:val="0084637C"/>
    <w:rsid w:val="00855D09"/>
    <w:rsid w:val="008A2BFE"/>
    <w:rsid w:val="008D430A"/>
    <w:rsid w:val="008D799E"/>
    <w:rsid w:val="00941C84"/>
    <w:rsid w:val="00945DF4"/>
    <w:rsid w:val="0095575B"/>
    <w:rsid w:val="00965767"/>
    <w:rsid w:val="00982A29"/>
    <w:rsid w:val="009845A8"/>
    <w:rsid w:val="009904C4"/>
    <w:rsid w:val="009A3472"/>
    <w:rsid w:val="009B6AFD"/>
    <w:rsid w:val="009B768A"/>
    <w:rsid w:val="009D6506"/>
    <w:rsid w:val="00A00F38"/>
    <w:rsid w:val="00A1139A"/>
    <w:rsid w:val="00A45267"/>
    <w:rsid w:val="00A64924"/>
    <w:rsid w:val="00A9661D"/>
    <w:rsid w:val="00AA2221"/>
    <w:rsid w:val="00AA3407"/>
    <w:rsid w:val="00AB43DF"/>
    <w:rsid w:val="00AC254D"/>
    <w:rsid w:val="00AC2876"/>
    <w:rsid w:val="00AD7C9F"/>
    <w:rsid w:val="00AF1863"/>
    <w:rsid w:val="00B063DE"/>
    <w:rsid w:val="00B5218C"/>
    <w:rsid w:val="00B56378"/>
    <w:rsid w:val="00B5708C"/>
    <w:rsid w:val="00B761D6"/>
    <w:rsid w:val="00B8714D"/>
    <w:rsid w:val="00B978DB"/>
    <w:rsid w:val="00BA0894"/>
    <w:rsid w:val="00BC6C9F"/>
    <w:rsid w:val="00BC6DAA"/>
    <w:rsid w:val="00BE47D8"/>
    <w:rsid w:val="00BE755B"/>
    <w:rsid w:val="00BF3E65"/>
    <w:rsid w:val="00BF450D"/>
    <w:rsid w:val="00BF58F3"/>
    <w:rsid w:val="00BF6D2A"/>
    <w:rsid w:val="00C07D05"/>
    <w:rsid w:val="00C318BE"/>
    <w:rsid w:val="00C55FAC"/>
    <w:rsid w:val="00C74201"/>
    <w:rsid w:val="00C8611E"/>
    <w:rsid w:val="00C95439"/>
    <w:rsid w:val="00C95AAC"/>
    <w:rsid w:val="00CA4F32"/>
    <w:rsid w:val="00CB6454"/>
    <w:rsid w:val="00CD373F"/>
    <w:rsid w:val="00CD62EE"/>
    <w:rsid w:val="00D61131"/>
    <w:rsid w:val="00D75FDB"/>
    <w:rsid w:val="00D864C5"/>
    <w:rsid w:val="00D90136"/>
    <w:rsid w:val="00D95FFC"/>
    <w:rsid w:val="00DA1C39"/>
    <w:rsid w:val="00DB33EB"/>
    <w:rsid w:val="00DB777E"/>
    <w:rsid w:val="00DC3D58"/>
    <w:rsid w:val="00DE0CBC"/>
    <w:rsid w:val="00DF37B2"/>
    <w:rsid w:val="00E05F25"/>
    <w:rsid w:val="00E1205E"/>
    <w:rsid w:val="00E23240"/>
    <w:rsid w:val="00E27BF2"/>
    <w:rsid w:val="00E32976"/>
    <w:rsid w:val="00E33D99"/>
    <w:rsid w:val="00E508E6"/>
    <w:rsid w:val="00E51F3A"/>
    <w:rsid w:val="00E61E3D"/>
    <w:rsid w:val="00E71EF9"/>
    <w:rsid w:val="00EE14AD"/>
    <w:rsid w:val="00F301C4"/>
    <w:rsid w:val="00F83510"/>
    <w:rsid w:val="00F8657C"/>
    <w:rsid w:val="00FA228F"/>
    <w:rsid w:val="00FA349C"/>
    <w:rsid w:val="00FA7CD8"/>
    <w:rsid w:val="00FB42EE"/>
    <w:rsid w:val="00FD6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cff,#ccecff"/>
    </o:shapedefaults>
    <o:shapelayout v:ext="edit">
      <o:idmap v:ext="edit" data="1"/>
    </o:shapelayout>
  </w:shapeDefaults>
  <w:decimalSymbol w:val="."/>
  <w:listSeparator w:val=","/>
  <w14:docId w14:val="6A8A3BB7"/>
  <w15:docId w15:val="{E182E36C-5C16-4B45-8BF3-C37F3B938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558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5868"/>
    <w:rPr>
      <w:sz w:val="20"/>
      <w:szCs w:val="20"/>
    </w:rPr>
  </w:style>
  <w:style w:type="character" w:styleId="FootnoteReference">
    <w:name w:val="footnote reference"/>
    <w:uiPriority w:val="99"/>
    <w:semiHidden/>
    <w:rsid w:val="00255868"/>
    <w:rPr>
      <w:vertAlign w:val="superscript"/>
    </w:rPr>
  </w:style>
  <w:style w:type="paragraph" w:styleId="BalloonText">
    <w:name w:val="Balloon Text"/>
    <w:basedOn w:val="Normal"/>
    <w:link w:val="BalloonTextChar"/>
    <w:uiPriority w:val="99"/>
    <w:semiHidden/>
    <w:unhideWhenUsed/>
    <w:rsid w:val="001E7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A03"/>
    <w:rPr>
      <w:rFonts w:ascii="Segoe UI" w:hAnsi="Segoe UI" w:cs="Segoe UI"/>
      <w:sz w:val="18"/>
      <w:szCs w:val="18"/>
    </w:rPr>
  </w:style>
  <w:style w:type="paragraph" w:styleId="ListParagraph">
    <w:name w:val="List Paragraph"/>
    <w:basedOn w:val="Normal"/>
    <w:uiPriority w:val="34"/>
    <w:qFormat/>
    <w:rsid w:val="0004002E"/>
    <w:pPr>
      <w:ind w:left="720"/>
      <w:contextualSpacing/>
    </w:pPr>
  </w:style>
  <w:style w:type="paragraph" w:styleId="Header">
    <w:name w:val="header"/>
    <w:basedOn w:val="Normal"/>
    <w:link w:val="HeaderChar"/>
    <w:uiPriority w:val="99"/>
    <w:unhideWhenUsed/>
    <w:rsid w:val="00040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02E"/>
  </w:style>
  <w:style w:type="paragraph" w:styleId="Footer">
    <w:name w:val="footer"/>
    <w:basedOn w:val="Normal"/>
    <w:link w:val="FooterChar"/>
    <w:uiPriority w:val="99"/>
    <w:unhideWhenUsed/>
    <w:rsid w:val="00040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02E"/>
  </w:style>
  <w:style w:type="table" w:styleId="TableGrid">
    <w:name w:val="Table Grid"/>
    <w:basedOn w:val="TableNormal"/>
    <w:uiPriority w:val="39"/>
    <w:rsid w:val="00B06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63DE"/>
    <w:rPr>
      <w:color w:val="D25814" w:themeColor="hyperlink"/>
      <w:u w:val="single"/>
    </w:rPr>
  </w:style>
  <w:style w:type="character" w:styleId="CommentReference">
    <w:name w:val="annotation reference"/>
    <w:basedOn w:val="DefaultParagraphFont"/>
    <w:uiPriority w:val="99"/>
    <w:semiHidden/>
    <w:unhideWhenUsed/>
    <w:rsid w:val="00D864C5"/>
    <w:rPr>
      <w:sz w:val="16"/>
      <w:szCs w:val="16"/>
    </w:rPr>
  </w:style>
  <w:style w:type="paragraph" w:styleId="CommentText">
    <w:name w:val="annotation text"/>
    <w:basedOn w:val="Normal"/>
    <w:link w:val="CommentTextChar"/>
    <w:uiPriority w:val="99"/>
    <w:semiHidden/>
    <w:unhideWhenUsed/>
    <w:rsid w:val="00D864C5"/>
    <w:pPr>
      <w:spacing w:line="240" w:lineRule="auto"/>
    </w:pPr>
    <w:rPr>
      <w:sz w:val="20"/>
      <w:szCs w:val="20"/>
    </w:rPr>
  </w:style>
  <w:style w:type="character" w:customStyle="1" w:styleId="CommentTextChar">
    <w:name w:val="Comment Text Char"/>
    <w:basedOn w:val="DefaultParagraphFont"/>
    <w:link w:val="CommentText"/>
    <w:uiPriority w:val="99"/>
    <w:semiHidden/>
    <w:rsid w:val="00D864C5"/>
    <w:rPr>
      <w:sz w:val="20"/>
      <w:szCs w:val="20"/>
    </w:rPr>
  </w:style>
  <w:style w:type="paragraph" w:styleId="CommentSubject">
    <w:name w:val="annotation subject"/>
    <w:basedOn w:val="CommentText"/>
    <w:next w:val="CommentText"/>
    <w:link w:val="CommentSubjectChar"/>
    <w:uiPriority w:val="99"/>
    <w:semiHidden/>
    <w:unhideWhenUsed/>
    <w:rsid w:val="00D864C5"/>
    <w:rPr>
      <w:b/>
      <w:bCs/>
    </w:rPr>
  </w:style>
  <w:style w:type="character" w:customStyle="1" w:styleId="CommentSubjectChar">
    <w:name w:val="Comment Subject Char"/>
    <w:basedOn w:val="CommentTextChar"/>
    <w:link w:val="CommentSubject"/>
    <w:uiPriority w:val="99"/>
    <w:semiHidden/>
    <w:rsid w:val="00D864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006684">
      <w:bodyDiv w:val="1"/>
      <w:marLeft w:val="0"/>
      <w:marRight w:val="0"/>
      <w:marTop w:val="0"/>
      <w:marBottom w:val="0"/>
      <w:divBdr>
        <w:top w:val="none" w:sz="0" w:space="0" w:color="auto"/>
        <w:left w:val="none" w:sz="0" w:space="0" w:color="auto"/>
        <w:bottom w:val="none" w:sz="0" w:space="0" w:color="auto"/>
        <w:right w:val="none" w:sz="0" w:space="0" w:color="auto"/>
      </w:divBdr>
    </w:div>
    <w:div w:id="1413157861">
      <w:bodyDiv w:val="1"/>
      <w:marLeft w:val="0"/>
      <w:marRight w:val="0"/>
      <w:marTop w:val="0"/>
      <w:marBottom w:val="0"/>
      <w:divBdr>
        <w:top w:val="none" w:sz="0" w:space="0" w:color="auto"/>
        <w:left w:val="none" w:sz="0" w:space="0" w:color="auto"/>
        <w:bottom w:val="none" w:sz="0" w:space="0" w:color="auto"/>
        <w:right w:val="none" w:sz="0" w:space="0" w:color="auto"/>
      </w:divBdr>
    </w:div>
    <w:div w:id="180029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tesch@youredc.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75719-57FB-431B-914C-069FDD05E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Candy Marlow</cp:lastModifiedBy>
  <cp:revision>4</cp:revision>
  <cp:lastPrinted>2017-03-21T13:23:00Z</cp:lastPrinted>
  <dcterms:created xsi:type="dcterms:W3CDTF">2017-03-21T13:15:00Z</dcterms:created>
  <dcterms:modified xsi:type="dcterms:W3CDTF">2017-03-21T13:27:00Z</dcterms:modified>
</cp:coreProperties>
</file>